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ДОГОВОР  №  -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___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ind w:firstLine="567"/>
        <w:jc w:val="center"/>
        <w:spacing w:after="0" w:line="240" w:lineRule="auto"/>
        <w:tabs>
          <w:tab w:val="right" w:pos="6405" w:leader="none"/>
        </w:tabs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предоставления платных образовательных услуг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ind w:firstLine="567"/>
        <w:jc w:val="center"/>
        <w:spacing w:after="0" w:line="240" w:lineRule="auto"/>
        <w:tabs>
          <w:tab w:val="right" w:pos="6405" w:leader="none"/>
        </w:tabs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spacing w:after="0" w:line="240" w:lineRule="auto"/>
        <w:tabs>
          <w:tab w:val="right" w:pos="6405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г.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Новосибирск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«__» ______________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г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.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both"/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Муниципальное автономное общеобразовательное учреждение города Новосибирска «Средняя общеобразовательная школа №218», осуществляющее образовательную деятельность (далее – образовательная организация) на   основании лицензии от 01 сентября  2020 г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. №11553, выданной Министерством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образования Новосибирской области, именуемое в дальнейшем «Исполнитель», в лице директора Семернинова Артема Анатольевича, действующего на основании Устава с одной стороны, и, с другой стороны представитель несовершеннолетнего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jc w:val="both"/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________________________________</w:t>
      </w: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(фамилия, имя, отчество родителя (законного представителя) несовершеннолетнего лица)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именуемый в дальнейшем «Заказчик», действующий в интересах несовершеннолетнего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_________________________________________________________________________________ класс____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firstLine="567"/>
        <w:jc w:val="center"/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(фамилия, имя, отчество учащегося полностью,  класс)</w:t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</w:p>
    <w:p>
      <w:pPr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снилс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ребенка___________________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_____________________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spacing w:after="0" w:line="240" w:lineRule="auto"/>
        <w:tabs>
          <w:tab w:val="right" w:pos="6405" w:leader="underscor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именуемый в дальнейшем «Обучающийся», </w:t>
      </w:r>
      <w:r>
        <w:rPr>
          <w:rFonts w:ascii="Times New Roman" w:hAnsi="Times New Roman" w:cs="Times New Roman"/>
          <w:sz w:val="16"/>
          <w:szCs w:val="16"/>
        </w:rPr>
        <w:t xml:space="preserve">и</w:t>
      </w:r>
      <w:r>
        <w:rPr>
          <w:rFonts w:ascii="Times New Roman" w:hAnsi="Times New Roman" w:cs="Times New Roman"/>
          <w:sz w:val="16"/>
          <w:szCs w:val="16"/>
        </w:rPr>
        <w:t xml:space="preserve">менуемые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84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/>
      <w:bookmarkStart w:id="0" w:name="Par72"/>
      <w:r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I. Предмет Договора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1.1.  Исполнитель   обязуется   предоставить   образовательную услугу, а Обучающийся (Заказчик) обязуется  оплатить образовательную услугу по дополнительной общеразвивающей программе: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1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i/>
          <w:sz w:val="16"/>
          <w:szCs w:val="16"/>
        </w:rPr>
        <w:t xml:space="preserve">наименование дополнительной общеразвивающей программы)</w:t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pStyle w:val="84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очной форме обучения в соответствии с учебным планом и программами</w:t>
      </w:r>
      <w:r>
        <w:rPr>
          <w:rFonts w:ascii="Times New Roman" w:hAnsi="Times New Roman" w:cs="Times New Roman"/>
          <w:sz w:val="16"/>
          <w:szCs w:val="16"/>
        </w:rPr>
        <w:t xml:space="preserve"> Исполнителя.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1.2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Срок оказания образовательных услуг (продолжительность обучения) на момент подписания Договора составляет с </w:t>
      </w:r>
      <w:r>
        <w:rPr>
          <w:rFonts w:ascii="Times New Roman" w:hAnsi="Times New Roman" w:cs="Times New Roman"/>
          <w:sz w:val="16"/>
          <w:szCs w:val="16"/>
        </w:rPr>
        <w:t xml:space="preserve">___________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_____________</w:t>
      </w:r>
      <w:r>
        <w:rPr>
          <w:rFonts w:ascii="Times New Roman" w:hAnsi="Times New Roman" w:cs="Times New Roman"/>
          <w:sz w:val="16"/>
          <w:szCs w:val="16"/>
        </w:rPr>
        <w:t xml:space="preserve">г</w:t>
      </w:r>
      <w:r>
        <w:rPr>
          <w:rFonts w:ascii="Times New Roman" w:hAnsi="Times New Roman" w:cs="Times New Roman"/>
          <w:sz w:val="16"/>
          <w:szCs w:val="16"/>
        </w:rPr>
        <w:t xml:space="preserve">ода</w:t>
      </w:r>
      <w:r>
        <w:rPr>
          <w:rFonts w:ascii="Times New Roman" w:hAnsi="Times New Roman" w:cs="Times New Roman"/>
          <w:sz w:val="16"/>
          <w:szCs w:val="16"/>
        </w:rPr>
        <w:t xml:space="preserve"> за исключением выходных и нерабочих праздничных дней.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Выборочное посещение учебных занятий образовательной программой не предусмотрено.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1.3. </w:t>
      </w:r>
      <w:r>
        <w:rPr>
          <w:rFonts w:ascii="Times New Roman" w:hAnsi="Times New Roman" w:cs="Times New Roman"/>
          <w:iCs/>
          <w:sz w:val="16"/>
          <w:szCs w:val="16"/>
        </w:rPr>
        <w:t xml:space="preserve">После освоения дополнительной общеобразовательной (общеразвивающей) программы документ об обучении не выдается.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1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II. Права Исполнителя, Заказчика и Обучающегося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 Исполнитель вправе самостоятельно осуществлять образовательный процесс;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 Заказчик вправе получать информацию от Исполнителя по вопросам: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2.2.1.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I</w:t>
      </w:r>
      <w:r>
        <w:rPr>
          <w:rFonts w:ascii="Times New Roman" w:hAnsi="Times New Roman" w:cs="Times New Roman"/>
          <w:sz w:val="16"/>
          <w:szCs w:val="16"/>
        </w:rPr>
        <w:t xml:space="preserve">  настоящего договора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 успеваемости, поведения обучающегося к учебе и его способностях в отношении обучения по предмету учебного плана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 Обучающийся вправе: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tooltip="consultantplus://offline/ref=7E11085C2332190C47828593FD74F447736984DFF50D3EA61715FBAB41AE467D395AA1CFE1D7C844EE11F" w:history="1">
        <w:r>
          <w:rPr>
            <w:rFonts w:ascii="Times New Roman" w:hAnsi="Times New Roman" w:cs="Times New Roman"/>
            <w:sz w:val="16"/>
            <w:szCs w:val="16"/>
          </w:rPr>
          <w:t xml:space="preserve">разделом 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Договора;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2.3.2. Обращаться к Исполнителю по вопросам, касающимся образовательного процесса.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2.3.4. Пользоваться в порядке, установленном локальными нормативными актами, имуществом Исполнителя, необходимым для освоения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Cs/>
          <w:sz w:val="16"/>
          <w:szCs w:val="16"/>
        </w:rPr>
        <w:t xml:space="preserve">дополнительной общеобразовательной (общеразвивающей) </w:t>
      </w:r>
      <w:r>
        <w:rPr>
          <w:rFonts w:ascii="Times New Roman" w:hAnsi="Times New Roman" w:cs="Times New Roman"/>
          <w:sz w:val="16"/>
          <w:szCs w:val="16"/>
        </w:rPr>
        <w:t xml:space="preserve"> программы.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2.3.6. Получать полную и достоверную информацию об оценке своих знаний, умений, навыков и компетенций, а также о критериях этой оценки.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III. Обязанности Исполнителя, Заказчика и Обучающегося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 Исполнитель обязан: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1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3.1.1. Зачислить Обучающегося, выполнившего установленные законодательством Российской </w:t>
      </w:r>
      <w:r>
        <w:rPr>
          <w:rFonts w:ascii="Times New Roman" w:hAnsi="Times New Roman" w:cs="Times New Roman"/>
          <w:sz w:val="16"/>
          <w:szCs w:val="16"/>
        </w:rPr>
        <w:t xml:space="preserve">Федерации, учредительными   документами,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локальными нормативными актами Исполнителя условия приема.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tooltip="Закон РФ от 07.02.1992 N 2300-1 (ред. от 13.07.2015) &quot;О защите прав потребителей&quot;{КонсультантПлюс}" w:history="1">
        <w:r>
          <w:rPr>
            <w:rFonts w:ascii="Times New Roman" w:hAnsi="Times New Roman" w:cs="Times New Roman"/>
            <w:sz w:val="16"/>
            <w:szCs w:val="16"/>
          </w:rPr>
          <w:t xml:space="preserve">Законом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Российской Федерации от 07.02.1992 №2300-1 «О защите прав потребителей» «О защите прав потребителей» и Федеральным </w:t>
      </w:r>
      <w:hyperlink r:id="rId11" w:tooltip="Федеральный закон от 29.12.2012 N 273-ФЗ (ред. от 02.03.2016) &quot;Об образовании в Российской Федерации&quot;{КонсультантПлюс}" w:history="1">
        <w:r>
          <w:rPr>
            <w:rFonts w:ascii="Times New Roman" w:hAnsi="Times New Roman" w:cs="Times New Roman"/>
            <w:sz w:val="16"/>
            <w:szCs w:val="16"/>
          </w:rPr>
          <w:t xml:space="preserve">законом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от 29.12.2012 №273-ФЗ «Об образовании в Российской Федерации».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3.1.3. Организовать и обеспечить надлежащее предоставление </w:t>
      </w:r>
      <w:r>
        <w:rPr>
          <w:rFonts w:ascii="Times New Roman" w:hAnsi="Times New Roman" w:cs="Times New Roman"/>
          <w:sz w:val="16"/>
          <w:szCs w:val="16"/>
        </w:rPr>
        <w:t xml:space="preserve">платных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образовательных услуг, предусмотренных </w:t>
      </w:r>
      <w:hyperlink w:tooltip="I. Предмет Договора" w:anchor="Par72" w:history="1">
        <w:r>
          <w:rPr>
            <w:rFonts w:ascii="Times New Roman" w:hAnsi="Times New Roman" w:cs="Times New Roman"/>
            <w:sz w:val="16"/>
            <w:szCs w:val="16"/>
          </w:rPr>
          <w:t xml:space="preserve">разделом 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Договора. Платные о</w:t>
      </w:r>
      <w:r>
        <w:rPr>
          <w:rFonts w:ascii="Times New Roman" w:hAnsi="Times New Roman" w:cs="Times New Roman"/>
          <w:sz w:val="16"/>
          <w:szCs w:val="16"/>
        </w:rPr>
        <w:t xml:space="preserve">бразовательные услуги оказываются в соответствии с учебным планом и расписанием занятий Исполнителя.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3.1.5. Во время оказания платных образовательных услуг проявлять уважение к ли</w:t>
      </w:r>
      <w:r>
        <w:rPr>
          <w:rFonts w:ascii="Times New Roman" w:hAnsi="Times New Roman" w:cs="Times New Roman"/>
          <w:sz w:val="16"/>
          <w:szCs w:val="16"/>
        </w:rPr>
        <w:t xml:space="preserve">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 благополучия Обучающегося с учетом его индивидуальных особенностей.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3.1.6. Обеспечить </w:t>
      </w:r>
      <w:r>
        <w:rPr>
          <w:rFonts w:ascii="Times New Roman" w:hAnsi="Times New Roman" w:cs="Times New Roman"/>
          <w:sz w:val="16"/>
          <w:szCs w:val="16"/>
        </w:rPr>
        <w:t xml:space="preserve">Обучающемуся</w:t>
      </w:r>
      <w:r>
        <w:rPr>
          <w:rFonts w:ascii="Times New Roman" w:hAnsi="Times New Roman" w:cs="Times New Roman"/>
          <w:sz w:val="16"/>
          <w:szCs w:val="16"/>
        </w:rPr>
        <w:t xml:space="preserve"> предусмотренные выбранной </w:t>
      </w:r>
      <w:r>
        <w:rPr>
          <w:rFonts w:ascii="Times New Roman" w:hAnsi="Times New Roman" w:cs="Times New Roman"/>
          <w:sz w:val="16"/>
          <w:szCs w:val="16"/>
        </w:rPr>
        <w:t xml:space="preserve">дополнительной общеобразовательной (общеразвивающей) </w:t>
      </w:r>
      <w:r>
        <w:rPr>
          <w:rFonts w:ascii="Times New Roman" w:hAnsi="Times New Roman" w:cs="Times New Roman"/>
          <w:sz w:val="16"/>
          <w:szCs w:val="16"/>
        </w:rPr>
        <w:t xml:space="preserve"> программой условия ее освоения.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3.1.7. Сохранить место за Обучающимся в случае пропуска занятий по уважительным причинам (с учетом оплаты услуг, предусмотренных </w:t>
      </w:r>
      <w:hyperlink w:tooltip="I. Предмет Договора" w:anchor="Par72" w:history="1">
        <w:r>
          <w:rPr>
            <w:rFonts w:ascii="Times New Roman" w:hAnsi="Times New Roman" w:cs="Times New Roman"/>
            <w:sz w:val="16"/>
            <w:szCs w:val="16"/>
          </w:rPr>
          <w:t xml:space="preserve">разделом 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Договора).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3.1.8. Принимать от Обучающегося и (или) Заказчика плату за</w:t>
      </w:r>
      <w:r>
        <w:rPr>
          <w:rFonts w:ascii="Times New Roman" w:hAnsi="Times New Roman" w:cs="Times New Roman"/>
          <w:sz w:val="16"/>
          <w:szCs w:val="16"/>
        </w:rPr>
        <w:t xml:space="preserve"> платные 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образовательные услуги.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3.1.9. </w:t>
      </w:r>
      <w:r>
        <w:rPr>
          <w:rFonts w:ascii="Times New Roman" w:hAnsi="Times New Roman" w:cs="Times New Roman"/>
          <w:sz w:val="16"/>
          <w:szCs w:val="16"/>
        </w:rPr>
        <w:t xml:space="preserve">Уведомить Заказчика о нецелесообразности оказания </w:t>
      </w:r>
      <w:r>
        <w:rPr>
          <w:rFonts w:ascii="Times New Roman" w:hAnsi="Times New Roman" w:cs="Times New Roman"/>
          <w:sz w:val="16"/>
          <w:szCs w:val="16"/>
        </w:rPr>
        <w:t xml:space="preserve">Обучающемуся</w:t>
      </w:r>
      <w:r>
        <w:rPr>
          <w:rFonts w:ascii="Times New Roman" w:hAnsi="Times New Roman" w:cs="Times New Roman"/>
          <w:sz w:val="16"/>
          <w:szCs w:val="16"/>
        </w:rPr>
        <w:t xml:space="preserve"> платных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 </w:t>
      </w:r>
      <w:r>
        <w:rPr>
          <w:rFonts w:ascii="Times New Roman" w:hAnsi="Times New Roman" w:cs="Times New Roman"/>
          <w:sz w:val="16"/>
          <w:szCs w:val="16"/>
        </w:rPr>
        <w:t xml:space="preserve">Заказчик обязан своевременно вносить плату за предоставляемые Обучающемуся </w:t>
      </w:r>
      <w:r>
        <w:rPr>
          <w:rFonts w:ascii="Times New Roman" w:hAnsi="Times New Roman" w:cs="Times New Roman"/>
          <w:sz w:val="16"/>
          <w:szCs w:val="16"/>
        </w:rPr>
        <w:t xml:space="preserve">платные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образовательные услуги, указанные в </w:t>
      </w:r>
      <w:hyperlink w:tooltip="I. Предмет Договора" w:anchor="Par72" w:history="1">
        <w:r>
          <w:rPr>
            <w:rFonts w:ascii="Times New Roman" w:hAnsi="Times New Roman" w:cs="Times New Roman"/>
            <w:sz w:val="16"/>
            <w:szCs w:val="16"/>
          </w:rPr>
          <w:t xml:space="preserve">разделе I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>
        <w:rPr>
          <w:rFonts w:ascii="Times New Roman" w:hAnsi="Times New Roman" w:cs="Times New Roman"/>
          <w:sz w:val="16"/>
          <w:szCs w:val="16"/>
        </w:rPr>
        <w:t xml:space="preserve">Обучающийся обязан соблюдать требования, установленные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в </w:t>
      </w:r>
      <w:hyperlink r:id="rId12" w:tooltip="Федеральный закон от 29.12.2012 N 273-ФЗ (ред. от 02.03.2016) &quot;Об образовании в Российской Федерации&quot;{КонсультантПлюс}" w:history="1">
        <w:r>
          <w:rPr>
            <w:rFonts w:ascii="Times New Roman" w:hAnsi="Times New Roman" w:cs="Times New Roman"/>
            <w:sz w:val="16"/>
            <w:szCs w:val="16"/>
          </w:rPr>
          <w:t xml:space="preserve">статье 43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Федерального закона от 29.12.2012 №273-ФЗ «Об образовании в Российской Федерации», в том числе: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3.3.1. Выполнять задания для подготовки к занятиям, предусмотренным учебным планом.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3.3.2. Извещать Исполнителя о причинах отсутствия на занятиях.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3.3.3. Соблюдать требования учредительных документов, правила внутреннего распорядка и иные локальные нормативные акты Исполнителя.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IV. Стоимость услуг, сроки и порядок их оплаты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tbl>
      <w:tblPr>
        <w:tblStyle w:val="836"/>
        <w:tblpPr w:horzAnchor="margin" w:tblpXSpec="right" w:vertAnchor="text" w:tblpY="45" w:leftFromText="180" w:topFromText="0" w:rightFromText="180" w:bottomFromText="0"/>
        <w:tblW w:w="7479" w:type="dxa"/>
        <w:tblLook w:val="04A0" w:firstRow="1" w:lastRow="0" w:firstColumn="1" w:lastColumn="0" w:noHBand="0" w:noVBand="1"/>
      </w:tblPr>
      <w:tblGrid>
        <w:gridCol w:w="426"/>
        <w:gridCol w:w="3793"/>
        <w:gridCol w:w="1418"/>
        <w:gridCol w:w="1842"/>
      </w:tblGrid>
      <w:tr>
        <w:tblPrEx/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2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руб.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4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Одного занятия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месяц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379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4.1. Стоимость платных образовательных услуг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Увеличение стоимости</w:t>
      </w:r>
      <w:r>
        <w:rPr>
          <w:rFonts w:ascii="Times New Roman" w:hAnsi="Times New Roman" w:cs="Times New Roman"/>
          <w:sz w:val="16"/>
          <w:szCs w:val="16"/>
        </w:rPr>
        <w:t xml:space="preserve"> платных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образовательных услуг после заключения Договора не допускается.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</w:t>
      </w:r>
      <w:r>
        <w:rPr>
          <w:rFonts w:ascii="Times New Roman" w:hAnsi="Times New Roman" w:cs="Times New Roman"/>
          <w:sz w:val="16"/>
          <w:szCs w:val="16"/>
        </w:rPr>
        <w:t xml:space="preserve"> Первый и последний месяцы обучения </w:t>
      </w:r>
      <w:r>
        <w:rPr>
          <w:rFonts w:ascii="Times New Roman" w:hAnsi="Times New Roman" w:cs="Times New Roman"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о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плата производится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в срок до 1 числа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соответствующего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месяца, последующие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месяцы обучения оплачиваются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не позднее 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15</w:t>
      </w:r>
      <w:r>
        <w:rPr>
          <w:rFonts w:ascii="Times New Roman" w:hAnsi="Times New Roman" w:eastAsia="Times New Roman" w:cs="Times New Roman"/>
          <w:b/>
          <w:sz w:val="16"/>
          <w:szCs w:val="16"/>
        </w:rPr>
        <w:t xml:space="preserve"> числа следующего месяца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, подлежащего оплате в безналичном порядке на счет </w:t>
      </w:r>
      <w:r>
        <w:rPr>
          <w:rFonts w:ascii="Times New Roman" w:hAnsi="Times New Roman" w:cs="Times New Roman"/>
          <w:sz w:val="16"/>
          <w:szCs w:val="16"/>
        </w:rPr>
        <w:t xml:space="preserve">указанный в </w:t>
      </w:r>
      <w:hyperlink w:tooltip="IX. Адреса и реквизиты сторон" w:anchor="Par186" w:history="1">
        <w:r>
          <w:rPr>
            <w:rFonts w:ascii="Times New Roman" w:hAnsi="Times New Roman" w:cs="Times New Roman"/>
            <w:sz w:val="16"/>
            <w:szCs w:val="16"/>
          </w:rPr>
          <w:t xml:space="preserve">разделе IX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Оплата услуг подтверждается квитанцией об оплате или ее копией.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4.3. </w:t>
      </w:r>
      <w:r>
        <w:rPr>
          <w:rFonts w:ascii="Times New Roman" w:hAnsi="Times New Roman" w:cs="Times New Roman"/>
          <w:sz w:val="16"/>
          <w:szCs w:val="16"/>
        </w:rPr>
        <w:t xml:space="preserve">Заказчик имеет право произвести перерасчет стоимости </w:t>
      </w:r>
      <w:r>
        <w:rPr>
          <w:rFonts w:ascii="Times New Roman" w:hAnsi="Times New Roman" w:cs="Times New Roman"/>
          <w:sz w:val="16"/>
          <w:szCs w:val="16"/>
        </w:rPr>
        <w:t xml:space="preserve">платных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образовательных услуг в следующем месяце в случае пропуска </w:t>
      </w:r>
      <w:r>
        <w:rPr>
          <w:rFonts w:ascii="Times New Roman" w:hAnsi="Times New Roman" w:cs="Times New Roman"/>
          <w:sz w:val="16"/>
          <w:szCs w:val="16"/>
        </w:rPr>
        <w:t xml:space="preserve">Обучающимся</w:t>
      </w:r>
      <w:r>
        <w:rPr>
          <w:rFonts w:ascii="Times New Roman" w:hAnsi="Times New Roman" w:cs="Times New Roman"/>
          <w:sz w:val="16"/>
          <w:szCs w:val="16"/>
        </w:rPr>
        <w:t xml:space="preserve"> занятий при предоставлении </w:t>
      </w:r>
      <w:r>
        <w:rPr>
          <w:rFonts w:ascii="Times New Roman" w:hAnsi="Times New Roman" w:cs="Times New Roman"/>
          <w:sz w:val="16"/>
          <w:szCs w:val="16"/>
        </w:rPr>
        <w:t xml:space="preserve">справки из медицинской организации.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4.4. В случае досрочного расторжения договора расчет стоимости услуг осуществляется по фактическому присутствию обучающегося на основании табеля учета посещаемости.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V. Порядок изменения и расторжения договора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5.2. Настоящий Договор может быть расторгнут по соглашению Сторон.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5.3. Настоящий Договор может быть расторгнут по инициативе Исполнителя в одностороннем порядке в случаях: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просрочки оплаты стоимости платных образовательных услуг</w:t>
      </w:r>
      <w:r>
        <w:rPr>
          <w:rFonts w:ascii="Times New Roman" w:hAnsi="Times New Roman" w:cs="Times New Roman"/>
          <w:sz w:val="16"/>
          <w:szCs w:val="16"/>
        </w:rPr>
        <w:t xml:space="preserve"> (1 месяц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  <w:t xml:space="preserve">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 xml:space="preserve">(многократное нарушение правил внутреннего распорядка)</w:t>
      </w:r>
      <w:r>
        <w:rPr>
          <w:rFonts w:ascii="Times New Roman" w:hAnsi="Times New Roman" w:cs="Times New Roman"/>
          <w:sz w:val="16"/>
          <w:szCs w:val="16"/>
        </w:rPr>
        <w:t xml:space="preserve">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иных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5.4. Настоящий Договор расторгается досрочно: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инициативе Обучающегося или родителей (законных представителей) несовершеннолетнего Обучающегося;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5.5. Исполнитель вправе отказаться от исполнения обязательств по Договору при условии полного возмещения Заказчику убытков.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5.6. Обучающийся (Заказчик)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VI. Ответственность Исполнителя, Заказчика и Обучающегося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 При обнаружении недостатка</w:t>
      </w:r>
      <w:r>
        <w:rPr>
          <w:rFonts w:ascii="Times New Roman" w:hAnsi="Times New Roman" w:cs="Times New Roman"/>
          <w:sz w:val="16"/>
          <w:szCs w:val="16"/>
        </w:rPr>
        <w:t xml:space="preserve"> платной 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6.2.1. Безвозмездного оказания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6.2.2. Соразмерного уменьшения стоимости оказанной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6.2.3. Возмещения понесенных им расходов по устранению недостатков оказанной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своими силами или третьими лицами.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30-ти </w:t>
      </w:r>
      <w:r>
        <w:rPr>
          <w:rFonts w:ascii="Times New Roman" w:hAnsi="Times New Roman" w:cs="Times New Roman"/>
          <w:sz w:val="16"/>
          <w:szCs w:val="16"/>
        </w:rPr>
        <w:t xml:space="preserve">дневный</w:t>
      </w:r>
      <w:r>
        <w:rPr>
          <w:rFonts w:ascii="Times New Roman" w:hAnsi="Times New Roman" w:cs="Times New Roman"/>
          <w:sz w:val="16"/>
          <w:szCs w:val="16"/>
        </w:rPr>
        <w:t xml:space="preserve"> срок недостатки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или иные существенные отступления от условий Договора.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 Если Исполнитель нарушил сроки оказания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(сроки начала и (или) окончания оказания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и (или) промежуточные сроки оказания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услуги) либо если во время оказания</w:t>
      </w:r>
      <w:r>
        <w:rPr>
          <w:rFonts w:ascii="Times New Roman" w:hAnsi="Times New Roman" w:cs="Times New Roman"/>
          <w:sz w:val="16"/>
          <w:szCs w:val="16"/>
        </w:rPr>
        <w:t xml:space="preserve"> платной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услуги стало очевидным, что она не будет осуществлена в срок, Заказчик вправе по своему выбору: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6.4.1. Назначить Исполнителю новый срок, в течение которого Исполнитель должен приступить к оказанию</w:t>
      </w:r>
      <w:r>
        <w:rPr>
          <w:rFonts w:ascii="Times New Roman" w:hAnsi="Times New Roman" w:cs="Times New Roman"/>
          <w:sz w:val="16"/>
          <w:szCs w:val="16"/>
        </w:rPr>
        <w:t xml:space="preserve"> платной 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услуги и (или) закончить оказание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6.4.2. Потребовать уменьшения стоимости</w:t>
      </w:r>
      <w:r>
        <w:rPr>
          <w:rFonts w:ascii="Times New Roman" w:hAnsi="Times New Roman" w:cs="Times New Roman"/>
          <w:sz w:val="16"/>
          <w:szCs w:val="16"/>
        </w:rPr>
        <w:t xml:space="preserve"> платной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услуги;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6.4.3. Расторгнуть Договор.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6.5. Заказчик вправе потребовать полного возмещения убытков, причиненных ему в связи с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нарушением сроков начала и (или) окончания оказания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услуги, а также в связи с недостатками</w:t>
      </w:r>
      <w:r>
        <w:rPr>
          <w:rFonts w:ascii="Times New Roman" w:hAnsi="Times New Roman" w:cs="Times New Roman"/>
          <w:sz w:val="16"/>
          <w:szCs w:val="16"/>
        </w:rPr>
        <w:t xml:space="preserve"> платной</w:t>
      </w:r>
      <w:r>
        <w:rPr>
          <w:rFonts w:ascii="Times New Roman" w:hAnsi="Times New Roman" w:cs="Times New Roman"/>
          <w:sz w:val="16"/>
          <w:szCs w:val="16"/>
        </w:rPr>
        <w:t xml:space="preserve"> образовательной услуги.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VII. Срок действия Договора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7.1. Настоящий Договор вступает в силу со дня его заключения Сторонами и действует до </w:t>
      </w:r>
      <w:r>
        <w:rPr>
          <w:rFonts w:ascii="Times New Roman" w:hAnsi="Times New Roman" w:cs="Times New Roman"/>
          <w:sz w:val="16"/>
          <w:szCs w:val="16"/>
        </w:rPr>
        <w:t xml:space="preserve">полного исполнения Сторонами обязательств.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VIII. Заключительные положения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8.2. Под периодом предоставления </w:t>
      </w:r>
      <w:r>
        <w:rPr>
          <w:rFonts w:ascii="Times New Roman" w:hAnsi="Times New Roman" w:cs="Times New Roman"/>
          <w:sz w:val="16"/>
          <w:szCs w:val="16"/>
        </w:rPr>
        <w:t xml:space="preserve">платной </w:t>
      </w:r>
      <w:r>
        <w:rPr>
          <w:rFonts w:ascii="Times New Roman" w:hAnsi="Times New Roman" w:cs="Times New Roman"/>
          <w:sz w:val="16"/>
          <w:szCs w:val="16"/>
        </w:rPr>
        <w:t xml:space="preserve">образовательной услуги (периодом обучения) понимается промежуток времени с даты издания </w:t>
      </w:r>
      <w:r>
        <w:rPr>
          <w:rFonts w:ascii="Times New Roman" w:hAnsi="Times New Roman" w:cs="Times New Roman"/>
          <w:sz w:val="16"/>
          <w:szCs w:val="16"/>
        </w:rPr>
        <w:t xml:space="preserve">приказа</w:t>
      </w:r>
      <w:r>
        <w:rPr>
          <w:rFonts w:ascii="Times New Roman" w:hAnsi="Times New Roman" w:cs="Times New Roman"/>
          <w:sz w:val="16"/>
          <w:szCs w:val="16"/>
        </w:rPr>
        <w:t xml:space="preserve"> о зачислении Обучающегося в </w:t>
      </w:r>
      <w:r>
        <w:rPr>
          <w:rFonts w:ascii="Times New Roman" w:hAnsi="Times New Roman" w:cs="Times New Roman"/>
          <w:sz w:val="16"/>
          <w:szCs w:val="16"/>
        </w:rPr>
        <w:t xml:space="preserve">группу по платным образовательным услугам </w:t>
      </w:r>
      <w:r>
        <w:rPr>
          <w:rFonts w:ascii="Times New Roman" w:hAnsi="Times New Roman" w:cs="Times New Roman"/>
          <w:sz w:val="16"/>
          <w:szCs w:val="16"/>
        </w:rPr>
        <w:t xml:space="preserve"> до даты издания приказа об </w:t>
      </w:r>
      <w:r>
        <w:rPr>
          <w:rFonts w:ascii="Times New Roman" w:hAnsi="Times New Roman" w:cs="Times New Roman"/>
          <w:sz w:val="16"/>
          <w:szCs w:val="16"/>
        </w:rPr>
        <w:t xml:space="preserve">отчислении Обучающегося.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8.3. Настоящий Догов</w:t>
      </w:r>
      <w:r>
        <w:rPr>
          <w:rFonts w:ascii="Times New Roman" w:hAnsi="Times New Roman" w:cs="Times New Roman"/>
          <w:sz w:val="16"/>
          <w:szCs w:val="16"/>
        </w:rPr>
        <w:t xml:space="preserve">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8.4. Изменения Договора оформляются дополнительными соглашениями к Договору.</w:t>
      </w:r>
      <w:bookmarkStart w:id="1" w:name="Par186"/>
      <w:r/>
      <w:bookmarkEnd w:id="1"/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4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  <w:outlineLvl w:val="1"/>
      </w:pPr>
      <w:r>
        <w:rPr>
          <w:rFonts w:ascii="Times New Roman" w:hAnsi="Times New Roman" w:cs="Times New Roman"/>
          <w:b/>
          <w:sz w:val="16"/>
          <w:szCs w:val="16"/>
        </w:rPr>
        <w:t xml:space="preserve">IX. Адреса и реквизиты сторон</w:t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tbl>
      <w:tblPr>
        <w:tblStyle w:val="836"/>
        <w:tblpPr w:horzAnchor="margin" w:tblpXSpec="right" w:vertAnchor="text" w:tblpY="107" w:leftFromText="180" w:topFromText="0" w:rightFromText="180" w:bottomFromText="0"/>
        <w:tblW w:w="7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6"/>
        <w:gridCol w:w="3543"/>
      </w:tblGrid>
      <w:tr>
        <w:tblPrEx/>
        <w:trPr>
          <w:trHeight w:val="271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tabs>
                <w:tab w:val="right" w:pos="6405" w:leader="underscore"/>
              </w:tabs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Заказчик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55"/>
        </w:trPr>
        <w:tc>
          <w:tcPr>
            <w:tcW w:w="3936" w:type="dxa"/>
            <w:vMerge w:val="restart"/>
            <w:textDirection w:val="lrTb"/>
            <w:noWrap w:val="false"/>
          </w:tcPr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Исполнитель: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автономное общеобразовательное учреждение города Новосибирска </w:t>
            </w:r>
            <w:r>
              <w:rPr>
                <w:sz w:val="16"/>
                <w:szCs w:val="16"/>
              </w:rPr>
              <w:t xml:space="preserve">«Средняя общеобразовательная школа №218»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Адрес: 630061,   г. Новосибирск,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Красный проспект,320/1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тел</w:t>
            </w:r>
            <w:r>
              <w:rPr>
                <w:sz w:val="16"/>
                <w:szCs w:val="16"/>
                <w:lang w:val="en-US"/>
              </w:rPr>
              <w:t xml:space="preserve">.: 8 (383) 388-46-78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38"/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e-mail: sch218@yandex.ru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838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БИК:015004950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</w:t>
            </w:r>
            <w:r>
              <w:rPr>
                <w:sz w:val="16"/>
                <w:szCs w:val="16"/>
              </w:rPr>
              <w:t xml:space="preserve">/с № 03234643507010005100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к/с№ 40102810445370000043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ИНН: 5410081193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КПП: 541001001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СИБИРСКОЕ ГУ БАНКА РОССИИ//УФК по Новосибирской области </w:t>
            </w:r>
            <w:r>
              <w:rPr>
                <w:sz w:val="16"/>
                <w:szCs w:val="16"/>
              </w:rPr>
              <w:t xml:space="preserve">г</w:t>
            </w:r>
            <w:r>
              <w:rPr>
                <w:sz w:val="16"/>
                <w:szCs w:val="16"/>
              </w:rPr>
              <w:t xml:space="preserve">.Н</w:t>
            </w:r>
            <w:r>
              <w:rPr>
                <w:sz w:val="16"/>
                <w:szCs w:val="16"/>
              </w:rPr>
              <w:t xml:space="preserve">овосибирск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Получатель</w:t>
            </w:r>
            <w:r>
              <w:rPr>
                <w:sz w:val="16"/>
                <w:szCs w:val="16"/>
              </w:rPr>
              <w:t xml:space="preserve"> 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ДФиНП</w:t>
            </w:r>
            <w:r>
              <w:rPr>
                <w:sz w:val="16"/>
                <w:szCs w:val="16"/>
              </w:rPr>
              <w:t xml:space="preserve"> мэрии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(МАОУ СОШ № 218, л/с 014032488)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КБК 891 000 000 000 000 00 130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both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Тип средств 81.02.01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Паспорт: серия, номер, когда и кем выдан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ind w:left="-57" w:right="-57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жительства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11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174"/>
        </w:trPr>
        <w:tc>
          <w:tcPr>
            <w:tcW w:w="3936" w:type="dxa"/>
            <w:vMerge w:val="continue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37"/>
        </w:trPr>
        <w:tc>
          <w:tcPr>
            <w:tcW w:w="3936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55"/>
        </w:trPr>
        <w:tc>
          <w:tcPr>
            <w:tcW w:w="3936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__</w:t>
            </w:r>
            <w:r>
              <w:rPr>
                <w:sz w:val="16"/>
                <w:szCs w:val="16"/>
              </w:rPr>
              <w:t xml:space="preserve">____</w:t>
            </w:r>
            <w:r>
              <w:rPr>
                <w:sz w:val="16"/>
                <w:szCs w:val="16"/>
              </w:rPr>
              <w:t xml:space="preserve">____</w:t>
            </w:r>
            <w:r>
              <w:rPr>
                <w:sz w:val="16"/>
                <w:szCs w:val="16"/>
              </w:rPr>
              <w:t xml:space="preserve">___</w:t>
            </w:r>
            <w:r>
              <w:rPr>
                <w:sz w:val="16"/>
                <w:szCs w:val="16"/>
              </w:rPr>
              <w:t xml:space="preserve">___ /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А.А.</w:t>
            </w:r>
            <w:r>
              <w:rPr>
                <w:sz w:val="16"/>
                <w:szCs w:val="16"/>
              </w:rPr>
              <w:t xml:space="preserve">Семернинов</w:t>
            </w:r>
            <w:r>
              <w:rPr>
                <w:sz w:val="16"/>
                <w:szCs w:val="16"/>
              </w:rPr>
              <w:t xml:space="preserve"> </w:t>
            </w:r>
            <w:bookmarkStart w:id="2" w:name="_GoBack"/>
            <w:r/>
            <w:bookmarkEnd w:id="2"/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МП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8"/>
              <w:jc w:val="center"/>
              <w:spacing w:line="240" w:lineRule="auto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4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84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Отметка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о получении второго экземпляра договора   _______________/_________________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______</w:t>
      </w:r>
      <w:r>
        <w:rPr>
          <w:rFonts w:ascii="Times New Roman" w:hAnsi="Times New Roman" w:eastAsia="Times New Roman" w:cs="Times New Roman"/>
          <w:sz w:val="16"/>
          <w:szCs w:val="16"/>
        </w:rPr>
        <w:br/>
        <w:t xml:space="preserve">                                                                                                      подпись               ФИО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851" w:right="851" w:bottom="851" w:left="851" w:header="709" w:footer="709" w:gutter="0"/>
      <w:cols w:num="2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2"/>
    <w:next w:val="832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3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2"/>
    <w:next w:val="832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3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2"/>
    <w:next w:val="832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7" w:customStyle="1">
    <w:name w:val="Подпись к таблице_"/>
    <w:link w:val="83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838" w:customStyle="1">
    <w:name w:val="Подпись к таблице"/>
    <w:basedOn w:val="832"/>
    <w:link w:val="837"/>
    <w:pPr>
      <w:spacing w:after="0" w:line="0" w:lineRule="atLeast"/>
      <w:shd w:val="clear" w:color="auto" w:fill="ffffff"/>
    </w:pPr>
    <w:rPr>
      <w:rFonts w:ascii="Times New Roman" w:hAnsi="Times New Roman" w:eastAsia="Times New Roman" w:cs="Times New Roman"/>
      <w:sz w:val="21"/>
      <w:szCs w:val="21"/>
      <w:lang w:eastAsia="en-US"/>
    </w:rPr>
  </w:style>
  <w:style w:type="character" w:styleId="839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40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841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42">
    <w:name w:val="Body Text"/>
    <w:basedOn w:val="832"/>
    <w:link w:val="843"/>
    <w:uiPriority w:val="99"/>
    <w:unhideWhenUsed/>
    <w:pPr>
      <w:spacing w:after="120" w:line="240" w:lineRule="auto"/>
    </w:pPr>
    <w:rPr>
      <w:rFonts w:ascii="Courier New" w:hAnsi="Courier New" w:eastAsia="Times New Roman" w:cs="Times New Roman"/>
      <w:sz w:val="24"/>
      <w:szCs w:val="20"/>
    </w:rPr>
  </w:style>
  <w:style w:type="character" w:styleId="843" w:customStyle="1">
    <w:name w:val="Основной текст Знак"/>
    <w:basedOn w:val="833"/>
    <w:link w:val="842"/>
    <w:uiPriority w:val="99"/>
    <w:rPr>
      <w:rFonts w:ascii="Courier New" w:hAnsi="Courier New" w:eastAsia="Times New Roman" w:cs="Times New Roman"/>
      <w:sz w:val="24"/>
      <w:szCs w:val="20"/>
      <w:lang w:eastAsia="ru-RU"/>
    </w:rPr>
  </w:style>
  <w:style w:type="paragraph" w:styleId="844">
    <w:name w:val="List Paragraph"/>
    <w:basedOn w:val="832"/>
    <w:uiPriority w:val="34"/>
    <w:qFormat/>
    <w:pPr>
      <w:contextualSpacing/>
      <w:ind w:left="720"/>
    </w:pPr>
  </w:style>
  <w:style w:type="paragraph" w:styleId="845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7E11085C2332190C47828593FD74F447736984DFF50D3EA61715FBAB41AE467D395AA1CFE1D7C844EE11F" TargetMode="External"/><Relationship Id="rId10" Type="http://schemas.openxmlformats.org/officeDocument/2006/relationships/hyperlink" Target="consultantplus://offline/ref=966C74C3FF39597EE0F880F46B88C9E8625A6EBDAD7DF712EFCC2D554Ah2vEI" TargetMode="External"/><Relationship Id="rId11" Type="http://schemas.openxmlformats.org/officeDocument/2006/relationships/hyperlink" Target="consultantplus://offline/ref=966C74C3FF39597EE0F880F46B88C9E8625B68BDAD7BF712EFCC2D554Ah2vEI" TargetMode="External"/><Relationship Id="rId12" Type="http://schemas.openxmlformats.org/officeDocument/2006/relationships/hyperlink" Target="consultantplus://offline/ref=966C74C3FF39597EE0F880F46B88C9E8625B68BDAD7BF712EFCC2D554A2E602FAB0BEBE4584F4996h3v9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Comp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школа</cp:lastModifiedBy>
  <cp:revision>28</cp:revision>
  <dcterms:created xsi:type="dcterms:W3CDTF">2024-09-24T10:10:00Z</dcterms:created>
  <dcterms:modified xsi:type="dcterms:W3CDTF">2025-10-08T08:18:29Z</dcterms:modified>
</cp:coreProperties>
</file>